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spacing w:after="0" w:before="0"/>
        <w:ind/>
        <w:jc w:val="center"/>
        <w:rPr>
          <w:i w:val="0"/>
          <w:sz w:val="24"/>
        </w:rPr>
      </w:pPr>
      <w:r>
        <w:rPr>
          <w:i w:val="0"/>
          <w:sz w:val="24"/>
        </w:rPr>
        <w:t xml:space="preserve">График </w:t>
      </w:r>
      <w:r>
        <w:rPr>
          <w:i w:val="0"/>
          <w:sz w:val="24"/>
        </w:rPr>
        <w:t>в</w:t>
      </w:r>
      <w:r>
        <w:rPr>
          <w:i w:val="0"/>
          <w:sz w:val="24"/>
        </w:rPr>
        <w:t>ебинар</w:t>
      </w:r>
      <w:r>
        <w:rPr>
          <w:i w:val="0"/>
          <w:sz w:val="24"/>
        </w:rPr>
        <w:t>ов с налогоплательщиками</w:t>
      </w:r>
      <w:r>
        <w:rPr>
          <w:i w:val="0"/>
          <w:sz w:val="24"/>
        </w:rPr>
        <w:t xml:space="preserve">,  </w:t>
      </w:r>
    </w:p>
    <w:p w14:paraId="02000000">
      <w:pPr>
        <w:pStyle w:val="Style_1"/>
        <w:spacing w:after="0" w:before="0"/>
        <w:ind/>
        <w:jc w:val="center"/>
        <w:rPr>
          <w:i w:val="0"/>
          <w:sz w:val="24"/>
        </w:rPr>
      </w:pPr>
      <w:r>
        <w:rPr>
          <w:i w:val="0"/>
          <w:sz w:val="24"/>
        </w:rPr>
        <w:t xml:space="preserve">запланированных </w:t>
      </w:r>
      <w:r>
        <w:rPr>
          <w:i w:val="0"/>
          <w:sz w:val="24"/>
        </w:rPr>
        <w:t>на</w:t>
      </w:r>
      <w:r>
        <w:rPr>
          <w:i w:val="0"/>
          <w:sz w:val="24"/>
        </w:rPr>
        <w:t xml:space="preserve"> </w:t>
      </w:r>
      <w:r>
        <w:rPr>
          <w:i w:val="0"/>
          <w:sz w:val="24"/>
        </w:rPr>
        <w:t>4</w:t>
      </w:r>
      <w:r>
        <w:rPr>
          <w:i w:val="0"/>
          <w:sz w:val="24"/>
        </w:rPr>
        <w:t xml:space="preserve"> квартал</w:t>
      </w:r>
      <w:r>
        <w:rPr>
          <w:i w:val="0"/>
          <w:sz w:val="24"/>
        </w:rPr>
        <w:t xml:space="preserve"> </w:t>
      </w:r>
      <w:r>
        <w:rPr>
          <w:i w:val="0"/>
          <w:sz w:val="24"/>
        </w:rPr>
        <w:t>202</w:t>
      </w:r>
      <w:r>
        <w:rPr>
          <w:i w:val="0"/>
          <w:sz w:val="24"/>
        </w:rPr>
        <w:t>5</w:t>
      </w:r>
      <w:r>
        <w:rPr>
          <w:i w:val="0"/>
          <w:sz w:val="24"/>
        </w:rPr>
        <w:t xml:space="preserve"> года</w:t>
      </w: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48"/>
        <w:gridCol w:w="3763"/>
        <w:gridCol w:w="1984"/>
        <w:gridCol w:w="1276"/>
        <w:gridCol w:w="2410"/>
      </w:tblGrid>
      <w:tr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pPr>
              <w:spacing w:after="0" w:line="240" w:lineRule="auto"/>
              <w:ind w:firstLine="0" w:lef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и время проведения вебинара</w:t>
            </w:r>
          </w:p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Тема вебинара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Спикер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Время по</w:t>
            </w:r>
          </w:p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регламент</w:t>
            </w:r>
            <w:r>
              <w:rPr>
                <w:rFonts w:ascii="Times New Roman" w:hAnsi="Times New Roman"/>
                <w:sz w:val="20"/>
              </w:rPr>
              <w:t>у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 проведения</w:t>
            </w:r>
          </w:p>
        </w:tc>
      </w:tr>
      <w:tr>
        <w:trPr>
          <w:trHeight w:hRule="atLeast" w:val="2237"/>
        </w:trPr>
        <w:tc>
          <w:tcPr>
            <w:tcW w:type="dxa" w:w="114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0D000000">
            <w:pPr>
              <w:spacing w:after="0" w:line="240" w:lineRule="auto"/>
              <w:ind w:firstLine="0" w:left="-108"/>
              <w:jc w:val="center"/>
              <w:rPr>
                <w:rFonts w:ascii="Times New Roman" w:hAnsi="Times New Roman"/>
                <w:sz w:val="20"/>
              </w:rPr>
            </w:pPr>
          </w:p>
          <w:p w14:paraId="0E000000">
            <w:pPr>
              <w:spacing w:after="0" w:line="240" w:lineRule="auto"/>
              <w:ind w:firstLine="0" w:left="-108"/>
              <w:jc w:val="center"/>
              <w:rPr>
                <w:rFonts w:ascii="Times New Roman" w:hAnsi="Times New Roman"/>
                <w:sz w:val="20"/>
              </w:rPr>
            </w:pPr>
          </w:p>
          <w:p w14:paraId="0F000000">
            <w:pPr>
              <w:spacing w:after="0" w:line="240" w:lineRule="auto"/>
              <w:ind w:firstLine="0" w:left="-108"/>
              <w:jc w:val="center"/>
              <w:rPr>
                <w:rFonts w:ascii="Times New Roman" w:hAnsi="Times New Roman"/>
                <w:sz w:val="20"/>
              </w:rPr>
            </w:pPr>
          </w:p>
          <w:p w14:paraId="10000000">
            <w:pPr>
              <w:spacing w:after="0" w:line="240" w:lineRule="auto"/>
              <w:ind w:firstLine="0" w:lef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  <w:r>
              <w:rPr>
                <w:rFonts w:ascii="Times New Roman" w:hAnsi="Times New Roman"/>
                <w:sz w:val="20"/>
              </w:rPr>
              <w:t>.10.202</w:t>
            </w:r>
            <w:r>
              <w:rPr>
                <w:rFonts w:ascii="Times New Roman" w:hAnsi="Times New Roman"/>
                <w:sz w:val="20"/>
              </w:rPr>
              <w:t>5</w:t>
            </w:r>
          </w:p>
          <w:p w14:paraId="11000000">
            <w:pPr>
              <w:spacing w:after="0" w:line="240" w:lineRule="auto"/>
              <w:ind w:firstLine="0" w:lef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11-00</w:t>
            </w:r>
          </w:p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Уведомительная кампания 202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года: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орядок уплаты имущественных налогов физическими лицами;</w:t>
            </w:r>
          </w:p>
          <w:p w14:paraId="1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способы направления и получения </w:t>
            </w:r>
            <w:r>
              <w:rPr>
                <w:rFonts w:ascii="Times New Roman" w:hAnsi="Times New Roman"/>
                <w:sz w:val="20"/>
              </w:rPr>
              <w:t xml:space="preserve"> налоговых уведомлений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действия налогоплательщиков, в случае неполучения налоговых уведомлений;</w:t>
            </w:r>
          </w:p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 xml:space="preserve">ому из </w:t>
            </w:r>
            <w:r>
              <w:rPr>
                <w:rFonts w:ascii="Times New Roman" w:hAnsi="Times New Roman"/>
                <w:sz w:val="20"/>
              </w:rPr>
              <w:t xml:space="preserve"> налогоплательщиков,</w:t>
            </w:r>
            <w:r>
              <w:rPr>
                <w:rFonts w:ascii="Times New Roman" w:hAnsi="Times New Roman"/>
                <w:sz w:val="20"/>
              </w:rPr>
              <w:t xml:space="preserve"> уведомления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 направлялись;</w:t>
            </w:r>
          </w:p>
          <w:p w14:paraId="1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 часто задаваемые вопросы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 xml:space="preserve">ачальник отдела </w:t>
            </w:r>
            <w:r>
              <w:rPr>
                <w:rFonts w:ascii="Times New Roman" w:hAnsi="Times New Roman"/>
                <w:color w:val="000000"/>
                <w:sz w:val="20"/>
              </w:rPr>
              <w:t>камерального контроля в сфере налогообложения имущества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  <w:p w14:paraId="1A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</w:p>
          <w:p w14:paraId="1B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</w:p>
          <w:p w14:paraId="1C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Ельцова Н.В.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1E000000"/>
          <w:p w14:paraId="1F000000"/>
          <w:p w14:paraId="20000000"/>
          <w:p w14:paraId="21000000"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instrText>HYPERLINK "https://w.sbis.ru/webinar/349074df-5358-4f85-aec3-7e69f67619d6"</w:instrText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t>https://w.sbis.ru/webinar/349074df-5358-4f85-aec3-7e69f67619d6</w:t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end"/>
            </w:r>
          </w:p>
          <w:p w14:paraId="22000000"/>
          <w:p w14:paraId="23000000">
            <w:r>
              <w:drawing>
                <wp:inline>
                  <wp:extent cx="1393190" cy="1393190"/>
                  <wp:docPr id="2" name="Picture 2"/>
                  <a:graphic>
                    <a:graphicData uri="http://schemas.openxmlformats.org/drawingml/2006/picture">
                      <pic:pic>
                        <pic:nvPicPr>
                          <pic:cNvPr id="1" name="Picture 1"/>
                          <pic:cNvPicPr preferRelativeResize="true"/>
                        </pic:nvPicPr>
                        <pic:blipFill>
                          <a:blip r:embed="rId1" r:link="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393190" cy="139319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24000000"/>
        </w:tc>
      </w:tr>
      <w:tr>
        <w:trPr>
          <w:trHeight w:hRule="atLeast" w:val="1323"/>
        </w:trPr>
        <w:tc>
          <w:tcPr>
            <w:tcW w:type="dxa" w:w="114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25000000">
            <w:pPr>
              <w:spacing w:after="0" w:line="240" w:lineRule="auto"/>
              <w:ind w:firstLine="0" w:left="-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 налоге на доходы физических лиц, включенном в налоговые уведомления:</w:t>
            </w:r>
          </w:p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каков порядок начисления НДФЛ по вкладам физических лиц;</w:t>
            </w:r>
          </w:p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особенности  начисления НДФЛ за 2024 год, включенного в уведомления 2025 года;</w:t>
            </w:r>
          </w:p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какие вклады освобождаются  от начисления НДФЛ.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Начальник отдела камерального контроля НДФЛ и СВ </w:t>
            </w:r>
          </w:p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  <w:p w14:paraId="2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Грудева Т.В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</w:tr>
      <w:tr>
        <w:trPr>
          <w:trHeight w:hRule="atLeast" w:val="1323"/>
        </w:trPr>
        <w:tc>
          <w:tcPr>
            <w:tcW w:type="dxa" w:w="114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31000000">
            <w:pPr>
              <w:spacing w:after="0" w:line="240" w:lineRule="auto"/>
              <w:ind w:firstLine="0" w:left="-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Интерактивные сервисы в помощь физическим лицам в рамках уплаты имущественных налогов:</w:t>
            </w:r>
          </w:p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Уплата налогов и пошлин;</w:t>
            </w:r>
          </w:p>
          <w:p w14:paraId="3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Налоговые калькуляторы;</w:t>
            </w:r>
          </w:p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Справочная информация о ставках и льготах по имущественным налогам;</w:t>
            </w:r>
          </w:p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Личный кабинет налогоплательщика.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</w:t>
            </w:r>
            <w:r>
              <w:rPr>
                <w:rFonts w:ascii="Times New Roman" w:hAnsi="Times New Roman"/>
                <w:sz w:val="20"/>
              </w:rPr>
              <w:t xml:space="preserve"> оказания государственных услуг </w:t>
            </w:r>
          </w:p>
          <w:p w14:paraId="38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39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Рутианиди Е.В.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</w:tr>
      <w:tr>
        <w:trPr>
          <w:trHeight w:hRule="atLeast" w:val="1323"/>
        </w:trPr>
        <w:tc>
          <w:tcPr>
            <w:tcW w:type="dxa" w:w="114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3B000000">
            <w:pPr>
              <w:spacing w:after="0" w:line="240" w:lineRule="auto"/>
              <w:ind w:firstLine="0" w:left="-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Налог на добавленную стоимость:</w:t>
            </w:r>
          </w:p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порядок, сроки и формы представляемой отчетности;</w:t>
            </w:r>
          </w:p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на что стоит обратить особое внимание;</w:t>
            </w:r>
          </w:p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 ответы на часто задаваемые вопросы.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</w:t>
            </w:r>
            <w:r>
              <w:rPr>
                <w:rFonts w:ascii="Times New Roman" w:hAnsi="Times New Roman"/>
                <w:sz w:val="20"/>
              </w:rPr>
              <w:t>ачальник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 xml:space="preserve"> отдела камерального контроля НДС</w:t>
            </w:r>
          </w:p>
          <w:p w14:paraId="4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4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Королева Т.Ю.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</w:tr>
      <w:tr>
        <w:tc>
          <w:tcPr>
            <w:tcW w:type="dxa" w:w="11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sz w:val="20"/>
              </w:rPr>
              <w:t>.202</w:t>
            </w:r>
            <w:r>
              <w:rPr>
                <w:rFonts w:ascii="Times New Roman" w:hAnsi="Times New Roman"/>
                <w:sz w:val="20"/>
              </w:rPr>
              <w:t>5</w:t>
            </w:r>
          </w:p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11-00</w:t>
            </w:r>
          </w:p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Исполнение налоговых уведомлений, направленных в 2025 году:</w:t>
            </w:r>
          </w:p>
          <w:p w14:paraId="6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статистические данные о начисленных налогах в региональный и местные бюджеты;</w:t>
            </w:r>
          </w:p>
          <w:p w14:paraId="6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</w:t>
            </w:r>
            <w:r>
              <w:rPr>
                <w:rFonts w:ascii="Times New Roman" w:hAnsi="Times New Roman"/>
                <w:sz w:val="20"/>
              </w:rPr>
              <w:t xml:space="preserve">ервые итоги </w:t>
            </w:r>
            <w:r>
              <w:rPr>
                <w:rFonts w:ascii="Times New Roman" w:hAnsi="Times New Roman"/>
                <w:sz w:val="20"/>
              </w:rPr>
              <w:t xml:space="preserve">по уплате;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ответы на вопросы, наиболее часто задаваемые налогоплательщиками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Начальник отдела </w:t>
            </w:r>
            <w:r>
              <w:rPr>
                <w:rFonts w:ascii="Times New Roman" w:hAnsi="Times New Roman"/>
                <w:color w:val="000000"/>
                <w:sz w:val="20"/>
              </w:rPr>
              <w:t>камерального контроля в сфере налогообложения имущества</w:t>
            </w:r>
          </w:p>
          <w:p w14:paraId="6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  <w:p w14:paraId="64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</w:p>
          <w:p w14:paraId="65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Ельцова Н.В.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0</w:t>
            </w:r>
          </w:p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instrText>HYPERLINK "https://w.sbis.ru/webinar/791727ed-2588-404b-8ba8-6984807a6030"</w:instrText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t>https://w.sbis.ru/webinar/791727ed-2588-404b-8ba8-6984807a6030</w:t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end"/>
            </w:r>
          </w:p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  <w:p w14:paraId="6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drawing>
                <wp:inline>
                  <wp:extent cx="1393190" cy="1393190"/>
                  <wp:docPr id="4" name="Picture 4"/>
                  <a:graphic>
                    <a:graphicData uri="http://schemas.openxmlformats.org/drawingml/2006/picture">
                      <pic:pic>
                        <pic:nvPicPr>
                          <pic:cNvPr id="3" name="Picture 3"/>
                          <pic:cNvPicPr preferRelativeResize="true"/>
                        </pic:nvPicPr>
                        <pic:blipFill>
                          <a:blip r:embed="rId2" r:link="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393190" cy="139319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atLeast" w:val="323"/>
        </w:trP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Применение специальных налоговых режимов УСН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ПСН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 НПД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изменения, вступающие в силу с 01.01.202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; </w:t>
            </w:r>
          </w:p>
          <w:p w14:paraId="6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условия перехода и применения систем;</w:t>
            </w:r>
          </w:p>
          <w:p w14:paraId="6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ставки и региональные особенности;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- правомерность применения пониженных налоговых ставок при УСН;</w:t>
            </w:r>
          </w:p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другие </w:t>
            </w:r>
            <w:r>
              <w:rPr>
                <w:rFonts w:ascii="Times New Roman" w:hAnsi="Times New Roman"/>
                <w:color w:val="000000"/>
                <w:sz w:val="20"/>
              </w:rPr>
              <w:t>моменты, на которые стоит обратить особое внимание.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Начальник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отдела камерального контроля специальных налоговых режимов </w:t>
            </w:r>
          </w:p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  <w:p w14:paraId="72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</w:p>
          <w:p w14:paraId="7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Янусик И.А.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323"/>
        </w:trP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Изменения по налогу на добавленную стоимость, вступающие в силу  с 01.01.2026</w:t>
            </w:r>
            <w:r>
              <w:rPr>
                <w:rFonts w:ascii="Times New Roman" w:hAnsi="Times New Roman"/>
                <w:sz w:val="20"/>
              </w:rPr>
              <w:t xml:space="preserve">, актуальные вопросы.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 камерального контроля НДС</w:t>
            </w:r>
          </w:p>
          <w:p w14:paraId="7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7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Борисова Е.В.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1435"/>
        </w:trP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Электронный документооборот  между контрагентами:</w:t>
            </w:r>
          </w:p>
          <w:p w14:paraId="7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преимущества;</w:t>
            </w:r>
          </w:p>
          <w:p w14:paraId="7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порядок взаимодействия;</w:t>
            </w:r>
          </w:p>
          <w:p w14:paraId="7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ответы на </w:t>
            </w:r>
            <w:r>
              <w:rPr>
                <w:rFonts w:ascii="Times New Roman" w:hAnsi="Times New Roman"/>
                <w:sz w:val="20"/>
              </w:rPr>
              <w:t>часто задаваемые</w:t>
            </w:r>
            <w:r>
              <w:rPr>
                <w:rFonts w:ascii="Times New Roman" w:hAnsi="Times New Roman"/>
                <w:sz w:val="20"/>
              </w:rPr>
              <w:t xml:space="preserve"> вопросы.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Старший госналогинспектор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камерального контроля НДС</w:t>
            </w:r>
          </w:p>
          <w:p w14:paraId="7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0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Епифанцев Е.В.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1716"/>
        </w:trPr>
        <w:tc>
          <w:tcPr>
            <w:tcW w:type="dxa" w:w="11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26.11.2025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11-00</w:t>
            </w:r>
          </w:p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Личный кабинет физического лица – это широкие возможности  контроля начисленных налогов и взаимодействие с налоговым органом из любой точки страны:</w:t>
            </w:r>
          </w:p>
          <w:p w14:paraId="8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 контроль сроков и возможность уплаты  налогов, без перехода на другие сайты; </w:t>
            </w:r>
          </w:p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как проверить начисления и уплату налогов;</w:t>
            </w:r>
          </w:p>
          <w:p w14:paraId="8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как получить необходимые  справки  без личного посещения налогового органа и  бумажной волокиты;</w:t>
            </w:r>
          </w:p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какие документы можно направить в налоговый орган;</w:t>
            </w:r>
          </w:p>
          <w:p w14:paraId="8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получение вычетов по налогу на доходы физических лиц.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Старший государственный инспектор</w:t>
            </w:r>
            <w:r>
              <w:rPr>
                <w:rFonts w:ascii="Times New Roman" w:hAnsi="Times New Roman"/>
                <w:sz w:val="20"/>
              </w:rPr>
              <w:t xml:space="preserve"> отдела оказания государственных услуг </w:t>
            </w:r>
          </w:p>
          <w:p w14:paraId="9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9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93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94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95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96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97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98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9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Новикова Е.И.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Style w:val="Style_3_ch"/>
                <w:rFonts w:ascii="Times New Roman" w:hAnsi="Times New Roman"/>
                <w:sz w:val="20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0"/>
              </w:rPr>
              <w:instrText>HYPERLINK "https://w.sbis.ru/webinar/86adb34d-c05a-4ca8-befd-12b6ebb8daf8"</w:instrText>
            </w:r>
            <w:r>
              <w:rPr>
                <w:rStyle w:val="Style_3_ch"/>
                <w:rFonts w:ascii="Times New Roman" w:hAnsi="Times New Roman"/>
                <w:sz w:val="20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0"/>
              </w:rPr>
              <w:t>https://w.sbis.ru/webinar/86adb34d-c05a-4ca8-befd-12b6ebb8daf8</w:t>
            </w:r>
            <w:r>
              <w:rPr>
                <w:rStyle w:val="Style_3_ch"/>
                <w:rFonts w:ascii="Times New Roman" w:hAnsi="Times New Roman"/>
                <w:sz w:val="20"/>
              </w:rPr>
              <w:fldChar w:fldCharType="end"/>
            </w:r>
          </w:p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drawing>
                <wp:inline>
                  <wp:extent cx="1393190" cy="1393190"/>
                  <wp:docPr id="6" name="Picture 6"/>
                  <a:graphic>
                    <a:graphicData uri="http://schemas.openxmlformats.org/drawingml/2006/picture">
                      <pic:pic>
                        <pic:nvPicPr>
                          <pic:cNvPr id="5" name="Picture 5"/>
                          <pic:cNvPicPr preferRelativeResize="true"/>
                        </pic:nvPicPr>
                        <pic:blipFill>
                          <a:blip r:embed="rId3" r:link="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393190" cy="139319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atLeast" w:val="1716"/>
        </w:trP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Личный кабинет индивидуального предпринимателя:</w:t>
            </w:r>
          </w:p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возможности сервиса;</w:t>
            </w:r>
          </w:p>
          <w:p w14:paraId="9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перечень декларации которые можно направить в ЛК ИП;</w:t>
            </w:r>
          </w:p>
          <w:p w14:paraId="A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порядок формирования и направления деклараций и расчетов;</w:t>
            </w:r>
          </w:p>
          <w:p w14:paraId="A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основные моменты, на которые стоит обратить внимание;</w:t>
            </w:r>
          </w:p>
          <w:p w14:paraId="A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новшества, реализованные в 2025 году.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</w:t>
            </w:r>
            <w:r>
              <w:rPr>
                <w:rFonts w:ascii="Times New Roman" w:hAnsi="Times New Roman"/>
                <w:sz w:val="20"/>
              </w:rPr>
              <w:t xml:space="preserve">льник отдела оказания государственных услуг </w:t>
            </w:r>
          </w:p>
          <w:p w14:paraId="A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A5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A6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A7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A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Бороздина М.Г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1716"/>
        </w:trP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Возможности контроля состояния Единого налогового счета в Личных кабинетах юридических лиц и индивидуальных предпринимателей:</w:t>
            </w:r>
          </w:p>
          <w:p w14:paraId="A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какие «подсказки» есть в личных кабинетах;</w:t>
            </w:r>
          </w:p>
          <w:p w14:paraId="A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какие документы можно запросить онлайн;</w:t>
            </w:r>
          </w:p>
          <w:p w14:paraId="A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как сверить начисления;</w:t>
            </w:r>
          </w:p>
          <w:p w14:paraId="A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 как сверить распределение Единого налогового платежа и др. </w:t>
            </w:r>
          </w:p>
          <w:p w14:paraId="A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Старший государственный инспектор</w:t>
            </w:r>
            <w:r>
              <w:rPr>
                <w:rFonts w:ascii="Times New Roman" w:hAnsi="Times New Roman"/>
                <w:sz w:val="20"/>
              </w:rPr>
              <w:t xml:space="preserve"> отдела оказания государственных услуг </w:t>
            </w:r>
          </w:p>
          <w:p w14:paraId="B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B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B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Гайфуллина М.В.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11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03.12.2025</w:t>
            </w:r>
          </w:p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Последствия несвоевременной уплаты налогов:</w:t>
            </w:r>
          </w:p>
          <w:p w14:paraId="B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порядок взыскания задолженности по налогам с физических лиц;</w:t>
            </w:r>
          </w:p>
          <w:p w14:paraId="B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как можно проконтролировать своевременность уплаты налогов (ЛК, Госуслуги, МФЦ);</w:t>
            </w:r>
          </w:p>
          <w:p w14:paraId="B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 как подключиться к СМС информированию.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Начальник отдела проектного управления долгом и урегулирования задолженности физических лиц</w:t>
            </w:r>
          </w:p>
          <w:p w14:paraId="B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B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Чебокчинова Т.Ю.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00000">
            <w:r>
              <w:rPr>
                <w:rFonts w:ascii="Times New Roman" w:hAnsi="Times New Roman"/>
                <w:b w:val="1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1"/>
                <w:color w:val="0000FF"/>
                <w:sz w:val="20"/>
                <w:u w:val="single"/>
              </w:rPr>
              <w:instrText>HYPERLINK "https://w.sbis.ru/webinar/9e975c97-8413-48a4-a5aa-88555773e7aa"</w:instrText>
            </w:r>
            <w:r>
              <w:rPr>
                <w:rFonts w:ascii="Times New Roman" w:hAnsi="Times New Roman"/>
                <w:b w:val="1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1"/>
                <w:color w:val="0000FF"/>
                <w:sz w:val="20"/>
                <w:u w:val="single"/>
              </w:rPr>
              <w:t>https://w.sbis.ru/webinar/9e975c97-8413-48a4-a5aa-88555773e7aa</w:t>
            </w:r>
            <w:r>
              <w:rPr>
                <w:rFonts w:ascii="Times New Roman" w:hAnsi="Times New Roman"/>
                <w:b w:val="1"/>
                <w:color w:val="0000FF"/>
                <w:sz w:val="20"/>
                <w:u w:val="single"/>
              </w:rPr>
              <w:fldChar w:fldCharType="end"/>
            </w:r>
          </w:p>
          <w:p w14:paraId="C0000000">
            <w:r>
              <w:drawing>
                <wp:inline>
                  <wp:extent cx="1393190" cy="1393190"/>
                  <wp:docPr id="8" name="Picture 8"/>
                  <a:graphic>
                    <a:graphicData uri="http://schemas.openxmlformats.org/drawingml/2006/picture">
                      <pic:pic>
                        <pic:nvPicPr>
                          <pic:cNvPr id="7" name="Picture 7"/>
                          <pic:cNvPicPr preferRelativeResize="true"/>
                        </pic:nvPicPr>
                        <pic:blipFill>
                          <a:blip r:embed="rId4" r:link="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393190" cy="139319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Единый </w:t>
            </w:r>
            <w:r>
              <w:rPr>
                <w:rFonts w:ascii="Times New Roman" w:hAnsi="Times New Roman"/>
                <w:color w:val="000000"/>
                <w:sz w:val="20"/>
              </w:rPr>
              <w:t>налогов</w:t>
            </w:r>
            <w:r>
              <w:rPr>
                <w:rFonts w:ascii="Times New Roman" w:hAnsi="Times New Roman"/>
                <w:color w:val="000000"/>
                <w:sz w:val="20"/>
              </w:rPr>
              <w:t>ый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счет: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0"/>
              </w:rPr>
              <w:t>порядок распределения Единого налогового платежа;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Уведомления о начисленных налогах – порядок и сроки представления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C2000000">
            <w:pPr>
              <w:spacing w:line="240" w:lineRule="auto"/>
              <w:ind/>
              <w:outlineLvl w:val="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обзор </w:t>
            </w:r>
            <w:r>
              <w:rPr>
                <w:rFonts w:ascii="Times New Roman" w:hAnsi="Times New Roman"/>
                <w:sz w:val="20"/>
              </w:rPr>
              <w:t>ошиб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, допускаемых</w:t>
            </w:r>
            <w:r>
              <w:rPr>
                <w:rFonts w:ascii="Times New Roman" w:hAnsi="Times New Roman"/>
                <w:sz w:val="20"/>
              </w:rPr>
              <w:t xml:space="preserve"> в уведомлениях 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ути их исправления;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меры принудительного взыскания в рамках ведения ЕНС.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ачальник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отдела урегулирования состояния расчетов с бюджетом и процессного взыскания задолженности </w:t>
            </w:r>
          </w:p>
          <w:p w14:paraId="C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C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Татаринова О.А.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Введение единого документа о постановке на учет в налоговых органах с 2026 года:</w:t>
            </w:r>
          </w:p>
          <w:p w14:paraId="C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– Выписка из Единого государственного реестра налогоплательщиков (ЕГРН);</w:t>
            </w:r>
          </w:p>
          <w:p w14:paraId="C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способы получения выписки из ЕГРН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 регистрации и учета налогоплательщи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ков</w:t>
            </w:r>
          </w:p>
          <w:p w14:paraId="CB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CC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Береговая С.В.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1408"/>
        </w:trPr>
        <w:tc>
          <w:tcPr>
            <w:tcW w:type="dxa" w:w="11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z w:val="20"/>
              </w:rPr>
              <w:t>.202</w:t>
            </w:r>
            <w:r>
              <w:rPr>
                <w:rFonts w:ascii="Times New Roman" w:hAnsi="Times New Roman"/>
                <w:sz w:val="20"/>
              </w:rPr>
              <w:t>5</w:t>
            </w:r>
          </w:p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11-00</w:t>
            </w:r>
          </w:p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Изменения законодательства о государственной регистрации с 2026  года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начальника отдела регистрации и учета налогоплательщи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ков</w:t>
            </w:r>
          </w:p>
          <w:p w14:paraId="D4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D5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Дац</w:t>
            </w:r>
            <w:r>
              <w:rPr>
                <w:rFonts w:ascii="Times New Roman" w:hAnsi="Times New Roman"/>
                <w:b w:val="1"/>
                <w:sz w:val="20"/>
              </w:rPr>
              <w:t>ю</w:t>
            </w:r>
            <w:r>
              <w:rPr>
                <w:rFonts w:ascii="Times New Roman" w:hAnsi="Times New Roman"/>
                <w:b w:val="1"/>
                <w:sz w:val="20"/>
              </w:rPr>
              <w:t>к О.А.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instrText>HYPERLINK "https://w.sbis.ru/webinar/70af959a-cff8-4c81-96e0-cd9dfeb5f4cb"</w:instrText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t>https://w.sbis.ru/webinar/70af959a-cff8-4c81-96e0-cd9dfeb5f4cb</w:t>
            </w:r>
            <w:r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end"/>
            </w:r>
          </w:p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drawing>
                <wp:inline>
                  <wp:extent cx="1393190" cy="1393190"/>
                  <wp:docPr id="10" name="Picture 10"/>
                  <a:graphic>
                    <a:graphicData uri="http://schemas.openxmlformats.org/drawingml/2006/picture">
                      <pic:pic>
                        <pic:nvPicPr>
                          <pic:cNvPr id="9" name="Picture 9"/>
                          <pic:cNvPicPr preferRelativeResize="true"/>
                        </pic:nvPicPr>
                        <pic:blipFill>
                          <a:blip r:embed="rId5" r:link="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393190" cy="139319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Импорт из стран ЕАЭС  особенности налогообложения.</w:t>
            </w:r>
          </w:p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порядок, сроки и формы представляемой отчетности.</w:t>
            </w:r>
          </w:p>
          <w:p w14:paraId="D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Электронный документооборот  между контрагентами.</w:t>
            </w:r>
          </w:p>
          <w:p w14:paraId="D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н</w:t>
            </w:r>
            <w:r>
              <w:rPr>
                <w:rFonts w:ascii="Times New Roman" w:hAnsi="Times New Roman"/>
                <w:sz w:val="20"/>
              </w:rPr>
              <w:t>ачальник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 xml:space="preserve">  камерального контроля  НДС</w:t>
            </w:r>
          </w:p>
          <w:p w14:paraId="E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E1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Шаповалова Н.Е.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Изменения по налогу на прибыль с 202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года. </w:t>
            </w:r>
          </w:p>
          <w:p w14:paraId="E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Представление налоговых расчетов сумм доходов, выплаченных иностранным организациям, и сумм удержанных налогов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Заместитель начальника отдела  камерального контроля </w:t>
            </w:r>
          </w:p>
          <w:p w14:paraId="E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E8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Михайленко Н.В.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11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Представление деклараций по форме 3 НДФЛ в электронном виде:</w:t>
            </w:r>
          </w:p>
          <w:p w14:paraId="E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в Личном кабинете физического лица;</w:t>
            </w:r>
          </w:p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с использованием портала Госуслуг.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</w:p>
          <w:p w14:paraId="E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Старший государственный инспектор</w:t>
            </w:r>
            <w:r>
              <w:rPr>
                <w:rFonts w:ascii="Times New Roman" w:hAnsi="Times New Roman"/>
                <w:sz w:val="20"/>
              </w:rPr>
              <w:t xml:space="preserve"> отдела оказания государственных услуг </w:t>
            </w:r>
          </w:p>
          <w:p w14:paraId="EF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  <w:p w14:paraId="F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Новикова Е.И.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</w:tbl>
    <w:p w14:paraId="F3000000">
      <w:pPr>
        <w:rPr>
          <w:rFonts w:ascii="Times New Roman" w:hAnsi="Times New Roman"/>
          <w:sz w:val="20"/>
        </w:rPr>
      </w:pPr>
      <w:bookmarkStart w:id="1" w:name="_GoBack"/>
      <w:bookmarkEnd w:id="1"/>
    </w:p>
    <w:sectPr>
      <w:pgSz w:h="16838" w:w="11906"/>
      <w:pgMar w:bottom="567" w:footer="709" w:gutter="0" w:header="709" w:left="851" w:right="567" w:top="93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  <w:rPr>
      <w:sz w:val="22"/>
    </w:rPr>
  </w:style>
  <w:style w:default="1" w:styleId="Style_4_ch" w:type="character">
    <w:name w:val="Normal"/>
    <w:link w:val="Style_4"/>
    <w:rPr>
      <w:sz w:val="22"/>
    </w:rPr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toc 4"/>
    <w:next w:val="Style_4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footer"/>
    <w:basedOn w:val="Style_4"/>
    <w:link w:val="Style_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7_ch" w:type="character">
    <w:name w:val="footer"/>
    <w:basedOn w:val="Style_4_ch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4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next w:val="Style_4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11" w:type="paragraph">
    <w:name w:val="Style5"/>
    <w:basedOn w:val="Style_4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Style5"/>
    <w:basedOn w:val="Style_4_ch"/>
    <w:link w:val="Style_11"/>
    <w:rPr>
      <w:rFonts w:ascii="Times New Roman" w:hAnsi="Times New Roman"/>
      <w:sz w:val="24"/>
    </w:rPr>
  </w:style>
  <w:style w:styleId="Style_12" w:type="paragraph">
    <w:name w:val="toc 3"/>
    <w:next w:val="Style_4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" w:type="paragraph">
    <w:name w:val="heading 5"/>
    <w:basedOn w:val="Style_4"/>
    <w:next w:val="Style_4"/>
    <w:link w:val="Style_1_ch"/>
    <w:uiPriority w:val="9"/>
    <w:qFormat/>
    <w:pPr>
      <w:spacing w:after="60" w:before="240" w:line="240" w:lineRule="auto"/>
      <w:ind/>
      <w:outlineLvl w:val="4"/>
    </w:pPr>
    <w:rPr>
      <w:rFonts w:ascii="Times New Roman" w:hAnsi="Times New Roman"/>
      <w:b w:val="1"/>
      <w:i w:val="1"/>
      <w:sz w:val="26"/>
    </w:rPr>
  </w:style>
  <w:style w:styleId="Style_1_ch" w:type="character">
    <w:name w:val="heading 5"/>
    <w:basedOn w:val="Style_4_ch"/>
    <w:link w:val="Style_1"/>
    <w:rPr>
      <w:rFonts w:ascii="Times New Roman" w:hAnsi="Times New Roman"/>
      <w:b w:val="1"/>
      <w:i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header"/>
    <w:basedOn w:val="Style_4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header"/>
    <w:basedOn w:val="Style_4_ch"/>
    <w:link w:val="Style_19"/>
  </w:style>
  <w:style w:styleId="Style_20" w:type="paragraph">
    <w:name w:val="toc 8"/>
    <w:next w:val="Style_4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toc 5"/>
    <w:next w:val="Style_4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23" w:type="paragraph">
    <w:name w:val="Subtitle"/>
    <w:next w:val="Style_4"/>
    <w:link w:val="Style_23_ch"/>
    <w:uiPriority w:val="11"/>
    <w:qFormat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4" w:type="paragraph">
    <w:name w:val="toc 10"/>
    <w:next w:val="Style_4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next w:val="Style_4"/>
    <w:link w:val="Style_25_ch"/>
    <w:uiPriority w:val="10"/>
    <w:qFormat/>
    <w:rPr>
      <w:rFonts w:ascii="XO Thames" w:hAnsi="XO Thames"/>
      <w:b w:val="1"/>
      <w:sz w:val="52"/>
    </w:rPr>
  </w:style>
  <w:style w:styleId="Style_25_ch" w:type="character">
    <w:name w:val="Title"/>
    <w:link w:val="Style_25"/>
    <w:rPr>
      <w:rFonts w:ascii="XO Thames" w:hAnsi="XO Thames"/>
      <w:b w:val="1"/>
      <w:sz w:val="52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6_ch" w:type="character">
    <w:name w:val="heading 4"/>
    <w:link w:val="Style_26"/>
    <w:rPr>
      <w:rFonts w:ascii="XO Thames" w:hAnsi="XO Thames"/>
      <w:b w:val="1"/>
      <w:color w:val="595959"/>
      <w:sz w:val="26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styleId="Style_28" w:type="paragraph">
    <w:name w:val="Font Style14"/>
    <w:link w:val="Style_28_ch"/>
    <w:rPr>
      <w:rFonts w:ascii="Times New Roman" w:hAnsi="Times New Roman"/>
      <w:b w:val="1"/>
      <w:sz w:val="24"/>
    </w:rPr>
  </w:style>
  <w:style w:styleId="Style_28_ch" w:type="character">
    <w:name w:val="Font Style14"/>
    <w:link w:val="Style_28"/>
    <w:rPr>
      <w:rFonts w:ascii="Times New Roman" w:hAnsi="Times New Roman"/>
      <w:b w:val="1"/>
      <w:sz w:val="24"/>
    </w:rPr>
  </w:style>
  <w:style w:styleId="Style_29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theme/theme1.xml" Type="http://schemas.openxmlformats.org/officeDocument/2006/relationships/theme"/>
  <Relationship Id="rId10" Target="webSettings.xml" Type="http://schemas.openxmlformats.org/officeDocument/2006/relationships/webSettings"/>
  <Relationship Id="rId7" Target="settings.xml" Type="http://schemas.openxmlformats.org/officeDocument/2006/relationships/settings"/>
  <Relationship Id="rId6" Target="fontTable.xml" Type="http://schemas.openxmlformats.org/officeDocument/2006/relationships/fontTable"/>
  <Relationship Id="rId9" Target="stylesWithEffects.xml" Type="http://schemas.microsoft.com/office/2007/relationships/stylesWithEffects"/>
  <Relationship Id="rId5" Target="media/5.gif" Type="http://schemas.openxmlformats.org/officeDocument/2006/relationships/image"/>
  <Relationship Id="rId8" Target="styles.xml" Type="http://schemas.openxmlformats.org/officeDocument/2006/relationships/styles"/>
  <Relationship Id="rId4" Target="media/4.gif" Type="http://schemas.openxmlformats.org/officeDocument/2006/relationships/image"/>
  <Relationship Id="rId3" Target="media/3.gif" Type="http://schemas.openxmlformats.org/officeDocument/2006/relationships/image"/>
  <Relationship Id="rId2" Target="media/2.gif" Type="http://schemas.openxmlformats.org/officeDocument/2006/relationships/image"/>
  <Relationship Id="rId1" Target="media/1.gif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2025-10-17T02:31:07Z</dcterms:modified>
</cp:coreProperties>
</file>